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для решения установленных цели и задач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FC5582">
        <w:rPr>
          <w:bCs/>
        </w:rPr>
        <w:t>Управление организациями в электроэнергетике и электротехнике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bookmarkStart w:id="1" w:name="_GoBack"/>
      <w:bookmarkEnd w:id="1"/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электротехники ИЭТ</institute>
    <profile xmlns="9fcb41ef-c49b-4112-a10d-653860e908af">Электротехнические, электромеханические и электронные системы автономных объектов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BE56E-65C1-4D31-B0F2-D6FE2F70E34F}"/>
</file>

<file path=customXml/itemProps2.xml><?xml version="1.0" encoding="utf-8"?>
<ds:datastoreItem xmlns:ds="http://schemas.openxmlformats.org/officeDocument/2006/customXml" ds:itemID="{76E51C60-D531-4E76-B815-5D3F327357A7}"/>
</file>

<file path=customXml/itemProps3.xml><?xml version="1.0" encoding="utf-8"?>
<ds:datastoreItem xmlns:ds="http://schemas.openxmlformats.org/officeDocument/2006/customXml" ds:itemID="{07C86DB9-D85C-4A57-8974-D58332F2D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4</cp:revision>
  <cp:lastPrinted>2017-07-13T09:51:00Z</cp:lastPrinted>
  <dcterms:created xsi:type="dcterms:W3CDTF">2019-05-05T14:20:00Z</dcterms:created>
  <dcterms:modified xsi:type="dcterms:W3CDTF">2019-05-05T14:22:00Z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55700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